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F39B3">
                              <w:rPr>
                                <w:rStyle w:val="Strong"/>
                                <w:color w:val="1F497D" w:themeColor="text2"/>
                              </w:rPr>
                              <w:t>August 26</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F39B3">
                        <w:rPr>
                          <w:rStyle w:val="Strong"/>
                          <w:color w:val="1F497D" w:themeColor="text2"/>
                        </w:rPr>
                        <w:t>August 26</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Amy Wagner</w:t>
      </w:r>
      <w:r w:rsidR="0040415D">
        <w:t xml:space="preserve"> (</w:t>
      </w:r>
      <w:r>
        <w:t>DHHS/OCQI</w:t>
      </w:r>
      <w:r w:rsidR="0040415D">
        <w:t>)</w:t>
      </w:r>
      <w:r>
        <w:t xml:space="preserve"> </w:t>
      </w:r>
    </w:p>
    <w:p w:rsidR="00416F02" w:rsidRPr="002F20CE" w:rsidRDefault="00CD4F0D" w:rsidP="00416F02">
      <w:pPr>
        <w:pStyle w:val="NoSpacing"/>
        <w:rPr>
          <w:b/>
          <w:color w:val="FF0000"/>
        </w:rPr>
      </w:pPr>
      <w:r w:rsidRPr="00382C14">
        <w:rPr>
          <w:b/>
        </w:rPr>
        <w:t>Core Member Attendance:</w:t>
      </w:r>
      <w:r w:rsidRPr="00382C14">
        <w:t xml:space="preserve">  </w:t>
      </w:r>
      <w:r>
        <w:t xml:space="preserve">Jay Yoe (DHHS/OCQI), Andrew MacLean (Maine Medical Association), </w:t>
      </w:r>
      <w:r w:rsidR="007C76B8">
        <w:t xml:space="preserve">Lisa Letourneau (QC), </w:t>
      </w:r>
      <w:r>
        <w:t>Peter Flotten (MHMC),</w:t>
      </w:r>
      <w:r w:rsidRPr="00A028AE">
        <w:t xml:space="preserve"> </w:t>
      </w:r>
      <w:r>
        <w:t>Jim Leonard (DHHS/</w:t>
      </w:r>
      <w:r w:rsidRPr="00135879">
        <w:t xml:space="preserve">MaineCare), </w:t>
      </w:r>
      <w:r>
        <w:t>Katherine Pelletreau (ME Assoc. of Health Plans), Amy Dix (Office of MaineCare Services), Peter Kraut (DHHS/MaineCare),</w:t>
      </w:r>
      <w:r w:rsidRPr="004004DD">
        <w:t xml:space="preserve"> </w:t>
      </w:r>
      <w:r w:rsidRPr="00132219">
        <w:t>Shaun Alfreds (Health</w:t>
      </w:r>
      <w:r>
        <w:t xml:space="preserve"> </w:t>
      </w:r>
      <w:r w:rsidRPr="00132219">
        <w:t>Infonet</w:t>
      </w:r>
      <w:r>
        <w:t xml:space="preserve">), </w:t>
      </w:r>
      <w:r w:rsidR="002F20CE">
        <w:t>Debra Wigand (Maine CDC)</w:t>
      </w:r>
      <w:r w:rsidR="002F20CE">
        <w:rPr>
          <w:color w:val="FF0000"/>
        </w:rPr>
        <w:t xml:space="preserve"> </w:t>
      </w:r>
    </w:p>
    <w:p w:rsidR="00585463" w:rsidRPr="002F20CE" w:rsidRDefault="00585463" w:rsidP="00B360D6">
      <w:pPr>
        <w:pStyle w:val="NoSpacing"/>
        <w:rPr>
          <w:color w:val="FF0000"/>
        </w:rPr>
      </w:pPr>
    </w:p>
    <w:p w:rsidR="0040415D" w:rsidRPr="002F20CE" w:rsidRDefault="00B360D6" w:rsidP="008D18D1">
      <w:pPr>
        <w:pStyle w:val="NoSpacing"/>
        <w:rPr>
          <w:color w:val="FF0000"/>
        </w:rPr>
      </w:pPr>
      <w:r w:rsidRPr="008D18D1">
        <w:rPr>
          <w:b/>
        </w:rPr>
        <w:t>Interested Parties &amp; Guests</w:t>
      </w:r>
      <w:r w:rsidR="00B10C95" w:rsidRPr="00382C14">
        <w:t xml:space="preserve">: </w:t>
      </w:r>
      <w:r w:rsidR="004004DD">
        <w:t xml:space="preserve">Randal Chenard (SIM), </w:t>
      </w:r>
      <w:r w:rsidR="00B96C14">
        <w:t>David Hanig (Lewin),</w:t>
      </w:r>
      <w:r w:rsidR="00A028AE">
        <w:t xml:space="preserve"> Andy Paradis (Lewin), </w:t>
      </w:r>
      <w:r w:rsidR="006C04F9">
        <w:t>Jade Christie-Maples (Lewin),</w:t>
      </w:r>
      <w:r w:rsidR="00644791">
        <w:t xml:space="preserve"> </w:t>
      </w:r>
      <w:r w:rsidR="00B96C14">
        <w:t xml:space="preserve">Beth Austin (Crescendo Consulting), </w:t>
      </w:r>
      <w:r w:rsidR="004004DD">
        <w:t xml:space="preserve">Scott Good </w:t>
      </w:r>
      <w:r w:rsidR="00644791">
        <w:t>(Crescendo Consulting)</w:t>
      </w:r>
      <w:r w:rsidR="00E063EF">
        <w:t>, Brian Robertson (Market Decisions),</w:t>
      </w:r>
      <w:r w:rsidR="00B96C14">
        <w:t xml:space="preserve"> Mark Noyes (Market Decisions)</w:t>
      </w:r>
      <w:r w:rsidR="007C76B8">
        <w:t xml:space="preserve">, Kat Brandt (SHMC/MaineHealth) </w:t>
      </w:r>
    </w:p>
    <w:p w:rsidR="004004DD" w:rsidRDefault="004004DD"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A028AE" w:rsidRPr="00135879">
        <w:t>)</w:t>
      </w:r>
      <w:r w:rsidR="00135879" w:rsidRPr="00135879">
        <w:t xml:space="preserve">, </w:t>
      </w:r>
      <w:r w:rsidR="007C76B8">
        <w:t xml:space="preserve">Poppy Arford (Consumer), </w:t>
      </w:r>
      <w:r w:rsidR="00135879" w:rsidRPr="00135879">
        <w:t>Angela Cole Westhoff (Maine Osteopathic Association), Sadel Davis</w:t>
      </w:r>
      <w:r w:rsidR="00135879">
        <w:t xml:space="preserve"> (UPC of Maine)</w:t>
      </w:r>
      <w:r w:rsidR="00B96C14">
        <w:t>; Kathy Woods (Lewin)</w:t>
      </w:r>
      <w:r w:rsidR="007C76B8">
        <w:t>, Cindy Seekins (Parent of Consumer)</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E1035C" w:rsidRPr="00382C14" w:rsidTr="00FB5488">
        <w:tc>
          <w:tcPr>
            <w:tcW w:w="2178" w:type="dxa"/>
            <w:vAlign w:val="center"/>
          </w:tcPr>
          <w:p w:rsidR="00E1035C" w:rsidRPr="00382C14" w:rsidRDefault="00826C04" w:rsidP="003847D2">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Welcome &amp; Introductions</w:t>
            </w:r>
            <w:r w:rsidR="00CA676A">
              <w:rPr>
                <w:rFonts w:asciiTheme="minorHAnsi" w:hAnsiTheme="minorHAnsi" w:cstheme="minorHAnsi"/>
                <w:b/>
                <w:sz w:val="22"/>
                <w:szCs w:val="22"/>
              </w:rPr>
              <w:t>, Goals of meeting</w:t>
            </w:r>
          </w:p>
        </w:tc>
        <w:tc>
          <w:tcPr>
            <w:tcW w:w="1350" w:type="dxa"/>
          </w:tcPr>
          <w:p w:rsidR="00E1035C" w:rsidRDefault="00826C04"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p w:rsidR="008301E0" w:rsidRPr="00382C14" w:rsidRDefault="008301E0" w:rsidP="00FB5488">
            <w:pPr>
              <w:pStyle w:val="Formal1"/>
              <w:rPr>
                <w:rFonts w:asciiTheme="minorHAnsi" w:hAnsiTheme="minorHAnsi" w:cstheme="minorHAnsi"/>
                <w:b/>
                <w:sz w:val="22"/>
                <w:szCs w:val="22"/>
              </w:rPr>
            </w:pPr>
          </w:p>
        </w:tc>
        <w:tc>
          <w:tcPr>
            <w:tcW w:w="5130" w:type="dxa"/>
          </w:tcPr>
          <w:p w:rsidR="00B96C14" w:rsidRPr="00B96C14" w:rsidRDefault="00B96C14" w:rsidP="00B96C14">
            <w:pPr>
              <w:pStyle w:val="Formal1"/>
              <w:numPr>
                <w:ilvl w:val="0"/>
                <w:numId w:val="4"/>
              </w:numPr>
              <w:rPr>
                <w:rFonts w:asciiTheme="minorHAnsi" w:hAnsiTheme="minorHAnsi" w:cstheme="minorHAnsi"/>
                <w:sz w:val="22"/>
                <w:szCs w:val="22"/>
              </w:rPr>
            </w:pPr>
            <w:r w:rsidRPr="00B96C14">
              <w:rPr>
                <w:rFonts w:asciiTheme="minorHAnsi" w:hAnsiTheme="minorHAnsi" w:cstheme="minorHAnsi"/>
                <w:sz w:val="22"/>
                <w:szCs w:val="22"/>
              </w:rPr>
              <w:t>Inform committee of findings from the Provider and Key Stakeholder Interview analysis &amp; obtain feedback</w:t>
            </w:r>
          </w:p>
          <w:p w:rsidR="00B730FC" w:rsidRPr="00B96C14" w:rsidRDefault="00B96C14" w:rsidP="00B96C14">
            <w:pPr>
              <w:pStyle w:val="Formal1"/>
              <w:numPr>
                <w:ilvl w:val="0"/>
                <w:numId w:val="4"/>
              </w:numPr>
              <w:rPr>
                <w:rFonts w:asciiTheme="minorHAnsi" w:hAnsiTheme="minorHAnsi" w:cstheme="minorHAnsi"/>
                <w:sz w:val="22"/>
                <w:szCs w:val="22"/>
              </w:rPr>
            </w:pPr>
            <w:r w:rsidRPr="00B96C14">
              <w:rPr>
                <w:rFonts w:asciiTheme="minorHAnsi" w:hAnsiTheme="minorHAnsi" w:cstheme="minorHAnsi"/>
                <w:sz w:val="22"/>
                <w:szCs w:val="22"/>
              </w:rPr>
              <w:t>Review deeper analysis of Consumer Interview Findings</w:t>
            </w:r>
          </w:p>
        </w:tc>
        <w:tc>
          <w:tcPr>
            <w:tcW w:w="4604" w:type="dxa"/>
          </w:tcPr>
          <w:p w:rsidR="00E1035C" w:rsidRPr="009A7859" w:rsidRDefault="00E1035C" w:rsidP="00FB5488">
            <w:pPr>
              <w:pStyle w:val="Formal1"/>
              <w:rPr>
                <w:rFonts w:asciiTheme="minorHAnsi" w:hAnsiTheme="minorHAnsi" w:cstheme="minorHAnsi"/>
                <w:sz w:val="22"/>
                <w:szCs w:val="22"/>
              </w:rPr>
            </w:pPr>
          </w:p>
        </w:tc>
      </w:tr>
      <w:tr w:rsidR="00644791" w:rsidRPr="00382C14" w:rsidTr="00FB5488">
        <w:trPr>
          <w:trHeight w:val="620"/>
        </w:trPr>
        <w:tc>
          <w:tcPr>
            <w:tcW w:w="2178" w:type="dxa"/>
            <w:vAlign w:val="center"/>
          </w:tcPr>
          <w:p w:rsidR="00644791" w:rsidRPr="008301E0" w:rsidRDefault="00644791" w:rsidP="00B96C14">
            <w:pPr>
              <w:pStyle w:val="ListParagraph"/>
              <w:numPr>
                <w:ilvl w:val="0"/>
                <w:numId w:val="1"/>
              </w:numPr>
              <w:spacing w:before="120" w:after="120"/>
              <w:rPr>
                <w:b/>
              </w:rPr>
            </w:pPr>
            <w:r w:rsidRPr="008301E0">
              <w:rPr>
                <w:b/>
              </w:rPr>
              <w:t xml:space="preserve">Review and Approve </w:t>
            </w:r>
            <w:r w:rsidR="00B96C14">
              <w:rPr>
                <w:b/>
              </w:rPr>
              <w:t>July 22</w:t>
            </w:r>
            <w:r w:rsidR="00E063EF">
              <w:rPr>
                <w:b/>
              </w:rPr>
              <w:t xml:space="preserve">, </w:t>
            </w:r>
            <w:r w:rsidRPr="008301E0">
              <w:rPr>
                <w:b/>
              </w:rPr>
              <w:t>2015 Meeting Minutes</w:t>
            </w:r>
          </w:p>
        </w:tc>
        <w:tc>
          <w:tcPr>
            <w:tcW w:w="1350" w:type="dxa"/>
          </w:tcPr>
          <w:p w:rsidR="00644791" w:rsidRPr="00382C14" w:rsidRDefault="0042176F" w:rsidP="00B96C14">
            <w:pPr>
              <w:rPr>
                <w:b/>
              </w:rPr>
            </w:pPr>
            <w:r>
              <w:rPr>
                <w:b/>
              </w:rPr>
              <w:t>W</w:t>
            </w:r>
            <w:r w:rsidR="00B96C14">
              <w:rPr>
                <w:b/>
              </w:rPr>
              <w:t>agner</w:t>
            </w:r>
          </w:p>
        </w:tc>
        <w:tc>
          <w:tcPr>
            <w:tcW w:w="5130" w:type="dxa"/>
          </w:tcPr>
          <w:p w:rsidR="00935216" w:rsidRDefault="00B96C14" w:rsidP="00D32F52">
            <w:pPr>
              <w:pStyle w:val="ListParagraph"/>
              <w:numPr>
                <w:ilvl w:val="0"/>
                <w:numId w:val="2"/>
              </w:numPr>
              <w:rPr>
                <w:rFonts w:cstheme="minorHAnsi"/>
              </w:rPr>
            </w:pPr>
            <w:r>
              <w:rPr>
                <w:rFonts w:cstheme="minorHAnsi"/>
              </w:rPr>
              <w:t xml:space="preserve">Regarding target setting, members confirmed that a communications plan should be developed for both providers and the public. </w:t>
            </w:r>
          </w:p>
          <w:p w:rsidR="0045597A" w:rsidRPr="00A028AE" w:rsidRDefault="00490BA0" w:rsidP="00D32F52">
            <w:pPr>
              <w:pStyle w:val="ListParagraph"/>
              <w:numPr>
                <w:ilvl w:val="0"/>
                <w:numId w:val="2"/>
              </w:numPr>
              <w:rPr>
                <w:rFonts w:cstheme="minorHAnsi"/>
              </w:rPr>
            </w:pPr>
            <w:r>
              <w:rPr>
                <w:rFonts w:cstheme="minorHAnsi"/>
              </w:rPr>
              <w:t>With this modification the minutes were approved unanimously.</w:t>
            </w:r>
          </w:p>
        </w:tc>
        <w:tc>
          <w:tcPr>
            <w:tcW w:w="4604" w:type="dxa"/>
          </w:tcPr>
          <w:p w:rsidR="00644791" w:rsidRPr="00DF3E2D" w:rsidRDefault="00490BA0" w:rsidP="00D32F52">
            <w:pPr>
              <w:pStyle w:val="ListParagraph"/>
              <w:numPr>
                <w:ilvl w:val="0"/>
                <w:numId w:val="2"/>
              </w:numPr>
              <w:rPr>
                <w:rFonts w:cstheme="minorHAnsi"/>
              </w:rPr>
            </w:pPr>
            <w:r>
              <w:rPr>
                <w:rFonts w:cstheme="minorHAnsi"/>
              </w:rPr>
              <w:t xml:space="preserve">Lewin will complete the modification and have the minutes posted to the SIM website. </w:t>
            </w:r>
          </w:p>
        </w:tc>
      </w:tr>
      <w:tr w:rsidR="00644791" w:rsidRPr="00382C14" w:rsidTr="00FB5488">
        <w:tc>
          <w:tcPr>
            <w:tcW w:w="2178" w:type="dxa"/>
            <w:vAlign w:val="center"/>
          </w:tcPr>
          <w:p w:rsidR="00644791" w:rsidRPr="003220C6" w:rsidRDefault="00B96C14" w:rsidP="00E063EF">
            <w:pPr>
              <w:pStyle w:val="ListParagraph"/>
              <w:numPr>
                <w:ilvl w:val="0"/>
                <w:numId w:val="1"/>
              </w:numPr>
              <w:spacing w:before="120" w:after="120"/>
              <w:rPr>
                <w:b/>
              </w:rPr>
            </w:pPr>
            <w:r>
              <w:rPr>
                <w:b/>
              </w:rPr>
              <w:t xml:space="preserve">Provider and Key Stakeholder Interviews – </w:t>
            </w:r>
            <w:r>
              <w:rPr>
                <w:b/>
              </w:rPr>
              <w:lastRenderedPageBreak/>
              <w:t>Preliminary Action Items Review</w:t>
            </w:r>
          </w:p>
        </w:tc>
        <w:tc>
          <w:tcPr>
            <w:tcW w:w="1350" w:type="dxa"/>
          </w:tcPr>
          <w:p w:rsidR="004004DD" w:rsidRDefault="000727A3" w:rsidP="00FB5488">
            <w:pPr>
              <w:rPr>
                <w:b/>
              </w:rPr>
            </w:pPr>
            <w:r>
              <w:rPr>
                <w:b/>
              </w:rPr>
              <w:lastRenderedPageBreak/>
              <w:t>Austin</w:t>
            </w:r>
          </w:p>
          <w:p w:rsidR="000727A3" w:rsidRDefault="000727A3" w:rsidP="00FB5488">
            <w:pPr>
              <w:rPr>
                <w:b/>
              </w:rPr>
            </w:pPr>
            <w:r>
              <w:rPr>
                <w:b/>
              </w:rPr>
              <w:t xml:space="preserve">Good </w:t>
            </w:r>
          </w:p>
        </w:tc>
        <w:tc>
          <w:tcPr>
            <w:tcW w:w="5130" w:type="dxa"/>
          </w:tcPr>
          <w:p w:rsidR="00935216" w:rsidRDefault="000727A3" w:rsidP="00935216">
            <w:pPr>
              <w:pStyle w:val="ListParagraph"/>
              <w:numPr>
                <w:ilvl w:val="0"/>
                <w:numId w:val="6"/>
              </w:numPr>
              <w:rPr>
                <w:rFonts w:cstheme="minorHAnsi"/>
              </w:rPr>
            </w:pPr>
            <w:r>
              <w:rPr>
                <w:rFonts w:cstheme="minorHAnsi"/>
              </w:rPr>
              <w:t xml:space="preserve">The subcommittee reviewed the methodology for analysis of interviews used by Crescendo. A presentation was then given on initial findings by </w:t>
            </w:r>
            <w:r>
              <w:rPr>
                <w:rFonts w:cstheme="minorHAnsi"/>
              </w:rPr>
              <w:lastRenderedPageBreak/>
              <w:t>domain</w:t>
            </w:r>
            <w:r w:rsidR="009454FF">
              <w:rPr>
                <w:rFonts w:cstheme="minorHAnsi"/>
              </w:rPr>
              <w:t xml:space="preserve"> and SIM objective</w:t>
            </w:r>
            <w:r>
              <w:rPr>
                <w:rFonts w:cstheme="minorHAnsi"/>
              </w:rPr>
              <w:t xml:space="preserve">. </w:t>
            </w:r>
          </w:p>
          <w:p w:rsidR="000727A3" w:rsidRPr="00A028AE" w:rsidRDefault="000727A3" w:rsidP="00CF05A5">
            <w:pPr>
              <w:pStyle w:val="ListParagraph"/>
              <w:numPr>
                <w:ilvl w:val="0"/>
                <w:numId w:val="6"/>
              </w:numPr>
              <w:rPr>
                <w:rFonts w:cstheme="minorHAnsi"/>
              </w:rPr>
            </w:pPr>
            <w:r>
              <w:rPr>
                <w:rFonts w:cstheme="minorHAnsi"/>
              </w:rPr>
              <w:t xml:space="preserve">Subcommittee members </w:t>
            </w:r>
            <w:r w:rsidR="00CF05A5">
              <w:rPr>
                <w:rFonts w:cstheme="minorHAnsi"/>
              </w:rPr>
              <w:t>want</w:t>
            </w:r>
            <w:r w:rsidR="009454FF">
              <w:rPr>
                <w:rFonts w:cstheme="minorHAnsi"/>
              </w:rPr>
              <w:t xml:space="preserve"> to dig deeper into these findings, and would like to see further details on the respondents by group and how themes were identified. They would also like to see more detail on specific issues and suggestions raised by interview respondents, in the hopes that more actionable takeaways can be identified. </w:t>
            </w:r>
            <w:r>
              <w:rPr>
                <w:rFonts w:cstheme="minorHAnsi"/>
              </w:rPr>
              <w:t xml:space="preserve"> </w:t>
            </w:r>
          </w:p>
        </w:tc>
        <w:tc>
          <w:tcPr>
            <w:tcW w:w="4604" w:type="dxa"/>
          </w:tcPr>
          <w:p w:rsidR="00416F02" w:rsidRPr="00E3623E" w:rsidRDefault="009454FF" w:rsidP="004C2A33">
            <w:pPr>
              <w:pStyle w:val="ListParagraph"/>
              <w:numPr>
                <w:ilvl w:val="0"/>
                <w:numId w:val="2"/>
              </w:numPr>
              <w:rPr>
                <w:rFonts w:cstheme="minorHAnsi"/>
              </w:rPr>
            </w:pPr>
            <w:r>
              <w:rPr>
                <w:rFonts w:cstheme="minorHAnsi"/>
              </w:rPr>
              <w:lastRenderedPageBreak/>
              <w:t xml:space="preserve">Further analysis and feedback from the subcommittee will be incorporated into the </w:t>
            </w:r>
            <w:r w:rsidR="009A6026">
              <w:rPr>
                <w:rFonts w:cstheme="minorHAnsi"/>
              </w:rPr>
              <w:t xml:space="preserve">First </w:t>
            </w:r>
            <w:r>
              <w:rPr>
                <w:rFonts w:cstheme="minorHAnsi"/>
              </w:rPr>
              <w:t xml:space="preserve">Annual </w:t>
            </w:r>
            <w:r w:rsidR="009A6026">
              <w:rPr>
                <w:rFonts w:cstheme="minorHAnsi"/>
              </w:rPr>
              <w:t xml:space="preserve">Evaluation </w:t>
            </w:r>
            <w:r>
              <w:rPr>
                <w:rFonts w:cstheme="minorHAnsi"/>
              </w:rPr>
              <w:t xml:space="preserve">Report </w:t>
            </w:r>
            <w:r w:rsidR="009A6026">
              <w:rPr>
                <w:rFonts w:cstheme="minorHAnsi"/>
              </w:rPr>
              <w:t xml:space="preserve">due October </w:t>
            </w:r>
            <w:r w:rsidR="009A6026">
              <w:rPr>
                <w:rFonts w:cstheme="minorHAnsi"/>
              </w:rPr>
              <w:lastRenderedPageBreak/>
              <w:t>2015</w:t>
            </w:r>
            <w:r w:rsidR="004C2A33">
              <w:rPr>
                <w:rFonts w:cstheme="minorHAnsi"/>
              </w:rPr>
              <w:t xml:space="preserve"> and Rapid Cycle discussions in the September meeting.</w:t>
            </w:r>
            <w:r w:rsidR="009A6026">
              <w:rPr>
                <w:rFonts w:cstheme="minorHAnsi"/>
              </w:rPr>
              <w:t xml:space="preserve"> </w:t>
            </w:r>
          </w:p>
        </w:tc>
      </w:tr>
      <w:tr w:rsidR="00E063EF" w:rsidRPr="00382C14" w:rsidTr="00FB5488">
        <w:tc>
          <w:tcPr>
            <w:tcW w:w="2178" w:type="dxa"/>
            <w:vAlign w:val="center"/>
          </w:tcPr>
          <w:p w:rsidR="00E063EF" w:rsidRDefault="004004DD" w:rsidP="00B96C14">
            <w:pPr>
              <w:pStyle w:val="ListParagraph"/>
              <w:numPr>
                <w:ilvl w:val="0"/>
                <w:numId w:val="1"/>
              </w:numPr>
              <w:spacing w:before="120" w:after="120"/>
              <w:rPr>
                <w:b/>
              </w:rPr>
            </w:pPr>
            <w:r>
              <w:rPr>
                <w:b/>
              </w:rPr>
              <w:lastRenderedPageBreak/>
              <w:t xml:space="preserve">Consumer Interviews – </w:t>
            </w:r>
            <w:r w:rsidR="00B96C14">
              <w:rPr>
                <w:b/>
              </w:rPr>
              <w:t>A Deeper View of Final Results</w:t>
            </w:r>
          </w:p>
        </w:tc>
        <w:tc>
          <w:tcPr>
            <w:tcW w:w="1350" w:type="dxa"/>
          </w:tcPr>
          <w:p w:rsidR="00E063EF" w:rsidRDefault="000727A3" w:rsidP="00FB5488">
            <w:pPr>
              <w:rPr>
                <w:b/>
              </w:rPr>
            </w:pPr>
            <w:r>
              <w:rPr>
                <w:b/>
              </w:rPr>
              <w:t>Robertson</w:t>
            </w:r>
          </w:p>
        </w:tc>
        <w:tc>
          <w:tcPr>
            <w:tcW w:w="5130" w:type="dxa"/>
          </w:tcPr>
          <w:p w:rsidR="00370EBC" w:rsidRDefault="009454FF" w:rsidP="00D00E87">
            <w:pPr>
              <w:pStyle w:val="ListParagraph"/>
              <w:numPr>
                <w:ilvl w:val="0"/>
                <w:numId w:val="2"/>
              </w:numPr>
              <w:contextualSpacing/>
              <w:rPr>
                <w:rFonts w:cstheme="minorHAnsi"/>
              </w:rPr>
            </w:pPr>
            <w:r>
              <w:rPr>
                <w:rFonts w:cstheme="minorHAnsi"/>
              </w:rPr>
              <w:t>Market Decisions presented a deeper view of the consumer interview data, including demographic analysis and reviews of individual items potentially impacting lower scoring area</w:t>
            </w:r>
            <w:r w:rsidR="00CF05A5">
              <w:rPr>
                <w:rFonts w:cstheme="minorHAnsi"/>
              </w:rPr>
              <w:t>s.</w:t>
            </w:r>
          </w:p>
          <w:p w:rsidR="009454FF" w:rsidRPr="00370EBC" w:rsidRDefault="009454FF" w:rsidP="00D00E87">
            <w:pPr>
              <w:pStyle w:val="ListParagraph"/>
              <w:numPr>
                <w:ilvl w:val="0"/>
                <w:numId w:val="2"/>
              </w:numPr>
              <w:contextualSpacing/>
              <w:rPr>
                <w:rFonts w:cstheme="minorHAnsi"/>
              </w:rPr>
            </w:pPr>
            <w:r>
              <w:rPr>
                <w:rFonts w:cstheme="minorHAnsi"/>
              </w:rPr>
              <w:t xml:space="preserve">The committee discussed further dissemination of the consumer interview findings to other stakeholders once any final comments are collected from subcommittee members. </w:t>
            </w:r>
          </w:p>
        </w:tc>
        <w:tc>
          <w:tcPr>
            <w:tcW w:w="4604" w:type="dxa"/>
          </w:tcPr>
          <w:p w:rsidR="00E063EF" w:rsidRPr="00AA6364" w:rsidRDefault="00B7531E" w:rsidP="004C2A33">
            <w:pPr>
              <w:pStyle w:val="ListParagraph"/>
              <w:numPr>
                <w:ilvl w:val="0"/>
                <w:numId w:val="2"/>
              </w:numPr>
              <w:rPr>
                <w:rFonts w:cstheme="minorHAnsi"/>
              </w:rPr>
            </w:pPr>
            <w:r>
              <w:rPr>
                <w:rFonts w:cstheme="minorHAnsi"/>
              </w:rPr>
              <w:t xml:space="preserve">As with the provider and key stakeholder interview findings, further analysis of the data will be incorporated into the </w:t>
            </w:r>
            <w:r w:rsidR="009A6026">
              <w:rPr>
                <w:rFonts w:cstheme="minorHAnsi"/>
              </w:rPr>
              <w:t xml:space="preserve">First Annual Evaluation Report due October 2015 </w:t>
            </w:r>
            <w:r w:rsidR="004C2A33">
              <w:rPr>
                <w:rFonts w:cstheme="minorHAnsi"/>
              </w:rPr>
              <w:t>and Rapid Cycle discussions in the September meeting.</w:t>
            </w:r>
          </w:p>
        </w:tc>
      </w:tr>
      <w:tr w:rsidR="00644791" w:rsidRPr="00382C14" w:rsidTr="00FB5488">
        <w:tc>
          <w:tcPr>
            <w:tcW w:w="2178" w:type="dxa"/>
            <w:vAlign w:val="center"/>
          </w:tcPr>
          <w:p w:rsidR="00644791" w:rsidRPr="008301E0" w:rsidRDefault="004004DD" w:rsidP="003847D2">
            <w:pPr>
              <w:pStyle w:val="ListParagraph"/>
              <w:numPr>
                <w:ilvl w:val="0"/>
                <w:numId w:val="1"/>
              </w:numPr>
              <w:spacing w:before="120" w:after="120"/>
              <w:rPr>
                <w:b/>
              </w:rPr>
            </w:pPr>
            <w:r>
              <w:rPr>
                <w:b/>
              </w:rPr>
              <w:t>Time for public comment</w:t>
            </w:r>
          </w:p>
        </w:tc>
        <w:tc>
          <w:tcPr>
            <w:tcW w:w="1350" w:type="dxa"/>
          </w:tcPr>
          <w:p w:rsidR="0042176F" w:rsidRPr="00382C14" w:rsidRDefault="009454FF" w:rsidP="00FB5488">
            <w:pPr>
              <w:rPr>
                <w:b/>
              </w:rPr>
            </w:pPr>
            <w:r>
              <w:rPr>
                <w:b/>
              </w:rPr>
              <w:t>Wagner</w:t>
            </w:r>
          </w:p>
        </w:tc>
        <w:tc>
          <w:tcPr>
            <w:tcW w:w="5130" w:type="dxa"/>
          </w:tcPr>
          <w:p w:rsidR="007857DA" w:rsidRPr="00124585" w:rsidRDefault="00317BC6" w:rsidP="00D32F52">
            <w:pPr>
              <w:pStyle w:val="ListParagraph"/>
              <w:numPr>
                <w:ilvl w:val="0"/>
                <w:numId w:val="3"/>
              </w:numPr>
            </w:pPr>
            <w:r>
              <w:t>No comments.</w:t>
            </w:r>
          </w:p>
        </w:tc>
        <w:tc>
          <w:tcPr>
            <w:tcW w:w="4604" w:type="dxa"/>
          </w:tcPr>
          <w:p w:rsidR="000A02A6" w:rsidRPr="00317BC6" w:rsidRDefault="000A02A6" w:rsidP="00317BC6">
            <w:pPr>
              <w:contextualSpacing/>
              <w:rPr>
                <w:bCs/>
              </w:rPr>
            </w:pPr>
          </w:p>
        </w:tc>
      </w:tr>
      <w:tr w:rsidR="00E063EF" w:rsidRPr="00382C14" w:rsidTr="00FB5488">
        <w:tc>
          <w:tcPr>
            <w:tcW w:w="2178" w:type="dxa"/>
            <w:vAlign w:val="center"/>
          </w:tcPr>
          <w:p w:rsidR="00E063EF" w:rsidRDefault="0042176F" w:rsidP="00E063EF">
            <w:pPr>
              <w:pStyle w:val="ListParagraph"/>
              <w:numPr>
                <w:ilvl w:val="0"/>
                <w:numId w:val="1"/>
              </w:numPr>
              <w:spacing w:before="120" w:after="120"/>
              <w:rPr>
                <w:b/>
              </w:rPr>
            </w:pPr>
            <w:r>
              <w:rPr>
                <w:b/>
              </w:rPr>
              <w:t>Next Steps</w:t>
            </w:r>
          </w:p>
        </w:tc>
        <w:tc>
          <w:tcPr>
            <w:tcW w:w="1350" w:type="dxa"/>
          </w:tcPr>
          <w:p w:rsidR="00E063EF" w:rsidRDefault="00B64438" w:rsidP="00FB5488">
            <w:pPr>
              <w:rPr>
                <w:b/>
              </w:rPr>
            </w:pPr>
            <w:r>
              <w:rPr>
                <w:b/>
              </w:rPr>
              <w:t>Wagner</w:t>
            </w:r>
          </w:p>
          <w:p w:rsidR="00B64438" w:rsidRDefault="00B64438" w:rsidP="00FB5488">
            <w:pPr>
              <w:rPr>
                <w:b/>
              </w:rPr>
            </w:pPr>
          </w:p>
        </w:tc>
        <w:tc>
          <w:tcPr>
            <w:tcW w:w="5130" w:type="dxa"/>
          </w:tcPr>
          <w:p w:rsidR="00D00E87" w:rsidRPr="00D32F52" w:rsidRDefault="00D00E87" w:rsidP="00B96C14">
            <w:pPr>
              <w:pStyle w:val="ListParagraph"/>
              <w:numPr>
                <w:ilvl w:val="0"/>
                <w:numId w:val="3"/>
              </w:numPr>
            </w:pPr>
            <w:r w:rsidRPr="00D32F52">
              <w:t>Next Meeting</w:t>
            </w:r>
            <w:r>
              <w:t>:</w:t>
            </w:r>
          </w:p>
          <w:p w:rsidR="00D00E87" w:rsidRPr="00D32F52" w:rsidRDefault="00B96C14" w:rsidP="00D00E87">
            <w:pPr>
              <w:ind w:left="360"/>
            </w:pPr>
            <w:r>
              <w:t>September 23</w:t>
            </w:r>
            <w:r w:rsidR="00D00E87" w:rsidRPr="00D32F52">
              <w:t xml:space="preserve">, 2015, 3-5 pm </w:t>
            </w:r>
          </w:p>
          <w:p w:rsidR="00D00E87" w:rsidRPr="00D32F52" w:rsidRDefault="00D00E87" w:rsidP="00D00E87">
            <w:pPr>
              <w:ind w:left="360"/>
            </w:pPr>
            <w:r w:rsidRPr="00D32F52">
              <w:t>Conference room A</w:t>
            </w:r>
          </w:p>
          <w:p w:rsidR="00D00E87" w:rsidRPr="00D32F52" w:rsidRDefault="00D00E87" w:rsidP="00D00E87">
            <w:pPr>
              <w:ind w:left="360"/>
            </w:pPr>
            <w:r w:rsidRPr="00D32F52">
              <w:t xml:space="preserve">35 Anthony Avenue, Augusta </w:t>
            </w:r>
          </w:p>
          <w:p w:rsidR="004004DD" w:rsidRDefault="004004DD" w:rsidP="004004DD">
            <w:pPr>
              <w:pStyle w:val="ListParagraph"/>
              <w:ind w:left="648"/>
            </w:pPr>
          </w:p>
          <w:p w:rsidR="00E21527" w:rsidRPr="00E21527" w:rsidRDefault="00E21527" w:rsidP="00D32F52">
            <w:pPr>
              <w:pStyle w:val="ListParagraph"/>
              <w:numPr>
                <w:ilvl w:val="0"/>
                <w:numId w:val="5"/>
              </w:numPr>
            </w:pPr>
            <w:r w:rsidRPr="00E21527">
              <w:t xml:space="preserve">Future Discussion Topics </w:t>
            </w:r>
          </w:p>
          <w:p w:rsidR="00E63B6D" w:rsidRPr="00B96C14" w:rsidRDefault="009A6026" w:rsidP="00B96C14">
            <w:pPr>
              <w:pStyle w:val="ListParagraph"/>
              <w:numPr>
                <w:ilvl w:val="0"/>
                <w:numId w:val="5"/>
              </w:numPr>
              <w:ind w:left="648"/>
            </w:pPr>
            <w:r>
              <w:t>Rapid Cycle</w:t>
            </w:r>
            <w:r w:rsidR="00CD4F0D">
              <w:t xml:space="preserve"> Improvement opportunities</w:t>
            </w:r>
          </w:p>
          <w:p w:rsidR="00E63B6D" w:rsidRPr="00B96C14" w:rsidRDefault="00CD4F0D" w:rsidP="00B96C14">
            <w:pPr>
              <w:pStyle w:val="ListParagraph"/>
              <w:numPr>
                <w:ilvl w:val="0"/>
                <w:numId w:val="5"/>
              </w:numPr>
              <w:ind w:left="648"/>
            </w:pPr>
            <w:r>
              <w:t>Dashboard review and c</w:t>
            </w:r>
            <w:r w:rsidR="00CF05A5" w:rsidRPr="00B96C14">
              <w:t>ontinued discussion of data analysis</w:t>
            </w:r>
          </w:p>
          <w:p w:rsidR="00E63B6D" w:rsidRDefault="00CF05A5" w:rsidP="00B96C14">
            <w:pPr>
              <w:pStyle w:val="ListParagraph"/>
              <w:numPr>
                <w:ilvl w:val="0"/>
                <w:numId w:val="5"/>
              </w:numPr>
              <w:ind w:left="648"/>
            </w:pPr>
            <w:r w:rsidRPr="00B96C14">
              <w:t>Target setting progress for Commercial &amp; Medicare</w:t>
            </w:r>
          </w:p>
          <w:p w:rsidR="00CD4F0D" w:rsidRDefault="00CD4F0D" w:rsidP="00B96C14">
            <w:pPr>
              <w:pStyle w:val="ListParagraph"/>
              <w:numPr>
                <w:ilvl w:val="0"/>
                <w:numId w:val="5"/>
              </w:numPr>
              <w:ind w:left="648"/>
            </w:pPr>
            <w:r>
              <w:t>Update on JSI evaluations for NDPP &amp; CHW</w:t>
            </w:r>
          </w:p>
          <w:p w:rsidR="00027AF4" w:rsidRPr="00B96C14" w:rsidRDefault="00027AF4" w:rsidP="00B96C14">
            <w:pPr>
              <w:pStyle w:val="ListParagraph"/>
              <w:numPr>
                <w:ilvl w:val="0"/>
                <w:numId w:val="5"/>
              </w:numPr>
              <w:ind w:left="648"/>
            </w:pPr>
            <w:r>
              <w:t>Change of meeting day</w:t>
            </w:r>
          </w:p>
          <w:p w:rsidR="00E63B6D" w:rsidRPr="00B96C14" w:rsidRDefault="00CF05A5" w:rsidP="00B96C14">
            <w:pPr>
              <w:pStyle w:val="ListParagraph"/>
              <w:numPr>
                <w:ilvl w:val="0"/>
                <w:numId w:val="5"/>
              </w:numPr>
              <w:ind w:left="648"/>
            </w:pPr>
            <w:r w:rsidRPr="00B96C14">
              <w:t>Follow up on identified risks as necessary</w:t>
            </w:r>
          </w:p>
          <w:p w:rsidR="009A6026" w:rsidRDefault="009A6026" w:rsidP="00CD4F0D">
            <w:pPr>
              <w:pStyle w:val="ListParagraph"/>
              <w:numPr>
                <w:ilvl w:val="0"/>
                <w:numId w:val="5"/>
              </w:numPr>
              <w:ind w:left="648"/>
            </w:pPr>
            <w:r w:rsidRPr="00B96C14">
              <w:lastRenderedPageBreak/>
              <w:t>Sustainable Research Collaborative</w:t>
            </w:r>
          </w:p>
        </w:tc>
        <w:tc>
          <w:tcPr>
            <w:tcW w:w="4604" w:type="dxa"/>
          </w:tcPr>
          <w:p w:rsidR="00E1260E" w:rsidRPr="005B19DF" w:rsidRDefault="00E1260E" w:rsidP="00D32F52"/>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B96C14">
        <w:rPr>
          <w:rFonts w:eastAsia="Times New Roman" w:cs="Times New Roman"/>
          <w:b/>
        </w:rPr>
        <w:t>September 23</w:t>
      </w:r>
      <w:r w:rsidR="005E6D1A">
        <w:rPr>
          <w:rFonts w:eastAsia="Times New Roman" w:cs="Times New Roman"/>
          <w:b/>
        </w:rPr>
        <w:t>, 2015</w:t>
      </w:r>
    </w:p>
    <w:p w:rsidR="005E6D1A" w:rsidRDefault="00F800EE" w:rsidP="00DA7890">
      <w:pPr>
        <w:autoSpaceDE w:val="0"/>
        <w:autoSpaceDN w:val="0"/>
        <w:adjustRightInd w:val="0"/>
        <w:rPr>
          <w:rFonts w:eastAsia="Times New Roman" w:cs="Times New Roman"/>
          <w:b/>
        </w:rPr>
      </w:pPr>
      <w:r>
        <w:rPr>
          <w:rFonts w:eastAsia="Times New Roman" w:cs="Times New Roman"/>
          <w:b/>
        </w:rPr>
        <w:t xml:space="preserve">Conference Room A, </w:t>
      </w:r>
      <w:r w:rsidR="005E6D1A" w:rsidRPr="005E6D1A">
        <w:rPr>
          <w:rFonts w:eastAsia="Times New Roman" w:cs="Times New Roman"/>
          <w:b/>
        </w:rPr>
        <w:t>35 Anthony Avenue, Augusta, Maine</w:t>
      </w:r>
      <w:r w:rsidR="00DA7890">
        <w:rPr>
          <w:rFonts w:eastAsia="Times New Roman" w:cs="Times New Roman"/>
          <w:b/>
        </w:rPr>
        <w:t xml:space="preserve">     Please NOTE- this is a FRAGRANCE FREE building</w:t>
      </w:r>
      <w:r>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227D1E" w:rsidRPr="00382C14" w:rsidTr="00C10E3D">
        <w:tc>
          <w:tcPr>
            <w:tcW w:w="1168" w:type="dxa"/>
          </w:tcPr>
          <w:p w:rsidR="00227D1E" w:rsidRPr="00FF1757" w:rsidRDefault="00D32F52" w:rsidP="00ED2254">
            <w:pPr>
              <w:rPr>
                <w:rFonts w:asciiTheme="minorHAnsi" w:hAnsiTheme="minorHAnsi"/>
                <w:sz w:val="22"/>
                <w:szCs w:val="22"/>
              </w:rPr>
            </w:pPr>
            <w:r>
              <w:rPr>
                <w:rFonts w:asciiTheme="minorHAnsi" w:hAnsiTheme="minorHAnsi"/>
              </w:rPr>
              <w:t>6/24/2015</w:t>
            </w:r>
          </w:p>
        </w:tc>
        <w:tc>
          <w:tcPr>
            <w:tcW w:w="4250"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AB76E3" w:rsidRDefault="00F619D3" w:rsidP="007857DA">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AB76E3" w:rsidRDefault="00AB76E3" w:rsidP="007857DA">
            <w:pPr>
              <w:rPr>
                <w:rFonts w:asciiTheme="minorHAnsi" w:hAnsiTheme="minorHAnsi"/>
                <w:sz w:val="22"/>
                <w:szCs w:val="22"/>
              </w:rPr>
            </w:pPr>
          </w:p>
          <w:p w:rsidR="00227D1E" w:rsidRPr="00C12966" w:rsidRDefault="00AB76E3" w:rsidP="007857DA">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Pr>
          <w:p w:rsidR="00227D1E" w:rsidRPr="00FF1757" w:rsidRDefault="00135879" w:rsidP="00ED2254">
            <w:pPr>
              <w:rPr>
                <w:rFonts w:asciiTheme="minorHAnsi" w:hAnsiTheme="minorHAnsi"/>
                <w:b/>
                <w:sz w:val="22"/>
                <w:szCs w:val="22"/>
              </w:rPr>
            </w:pPr>
            <w:r>
              <w:rPr>
                <w:rFonts w:asciiTheme="minorHAnsi" w:hAnsiTheme="minorHAnsi"/>
                <w:sz w:val="22"/>
                <w:szCs w:val="22"/>
              </w:rPr>
              <w:t>Resolved</w:t>
            </w:r>
          </w:p>
        </w:tc>
        <w:tc>
          <w:tcPr>
            <w:tcW w:w="2306" w:type="dxa"/>
          </w:tcPr>
          <w:p w:rsidR="00227D1E" w:rsidRPr="00FF1757" w:rsidRDefault="007857DA" w:rsidP="007857DA">
            <w:pPr>
              <w:rPr>
                <w:rFonts w:asciiTheme="minorHAnsi" w:hAnsiTheme="minorHAnsi"/>
                <w:b/>
                <w:sz w:val="22"/>
                <w:szCs w:val="22"/>
              </w:rPr>
            </w:pPr>
            <w:r>
              <w:rPr>
                <w:rFonts w:asciiTheme="minorHAnsi" w:hAnsiTheme="minorHAnsi"/>
                <w:b/>
                <w:sz w:val="22"/>
                <w:szCs w:val="22"/>
              </w:rPr>
              <w:t>Andy Paradis / Kathy Woods / Peter Flotten</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F619D3" w:rsidRDefault="000A02A6" w:rsidP="00ED2254">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Default="000A02A6" w:rsidP="00ED2254">
            <w:r>
              <w:rPr>
                <w:rFonts w:asciiTheme="minorHAnsi" w:hAnsiTheme="minorHAnsi"/>
              </w:rPr>
              <w:t>Limited ability to influence.</w:t>
            </w:r>
            <w:r w:rsidR="00CD4F0D">
              <w:rPr>
                <w:rFonts w:asciiTheme="minorHAnsi" w:hAnsiTheme="minorHAnsi"/>
              </w:rPr>
              <w:t xml:space="preserve">  Note that Lewin has received Medicare data.</w:t>
            </w:r>
          </w:p>
        </w:tc>
        <w:tc>
          <w:tcPr>
            <w:tcW w:w="2073" w:type="dxa"/>
          </w:tcPr>
          <w:p w:rsidR="000A02A6" w:rsidRDefault="000A02A6" w:rsidP="00ED2254">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F619D3" w:rsidRDefault="000A02A6" w:rsidP="00ED2254">
            <w:pPr>
              <w:rPr>
                <w:rFonts w:asciiTheme="minorHAnsi" w:hAnsiTheme="minorHAnsi"/>
              </w:rPr>
            </w:pPr>
            <w:r w:rsidRPr="00F619D3">
              <w:rPr>
                <w:rFonts w:asciiTheme="minorHAnsi" w:hAnsiTheme="minorHAnsi"/>
              </w:rPr>
              <w:t>Potential delays in timely access to Commercial data due to time lags in release of data</w:t>
            </w:r>
          </w:p>
        </w:tc>
        <w:tc>
          <w:tcPr>
            <w:tcW w:w="3465" w:type="dxa"/>
          </w:tcPr>
          <w:p w:rsidR="000A02A6" w:rsidRPr="00F619D3" w:rsidRDefault="000A02A6" w:rsidP="00ED2254">
            <w:pPr>
              <w:rPr>
                <w:rFonts w:asciiTheme="minorHAnsi" w:hAnsiTheme="minorHAnsi"/>
              </w:rPr>
            </w:pPr>
            <w:r>
              <w:rPr>
                <w:rFonts w:asciiTheme="minorHAnsi" w:hAnsiTheme="minorHAnsi"/>
              </w:rPr>
              <w:t>There is a four month lag for data at this time, but it is anticipated that data through March 2014 will be sent to Lewin in July 2015. Limited ability to influence.</w:t>
            </w:r>
            <w:r w:rsidR="00CD4F0D">
              <w:rPr>
                <w:rFonts w:asciiTheme="minorHAnsi" w:hAnsiTheme="minorHAnsi"/>
              </w:rPr>
              <w:t xml:space="preserve">  Note that Lewin has received commercial data.</w:t>
            </w:r>
          </w:p>
        </w:tc>
        <w:tc>
          <w:tcPr>
            <w:tcW w:w="2073" w:type="dxa"/>
          </w:tcPr>
          <w:p w:rsidR="000A02A6" w:rsidRPr="00F619D3" w:rsidRDefault="000A02A6" w:rsidP="00ED2254">
            <w:pPr>
              <w:rPr>
                <w:rFonts w:asciiTheme="minorHAnsi" w:hAnsiTheme="minorHAnsi"/>
                <w:b/>
              </w:rPr>
            </w:pPr>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Pr="00FF1757" w:rsidRDefault="00F619D3" w:rsidP="00ED2254">
            <w:pPr>
              <w:rPr>
                <w:rFonts w:asciiTheme="minorHAnsi" w:hAnsiTheme="minorHAnsi"/>
                <w:sz w:val="22"/>
                <w:szCs w:val="22"/>
              </w:rPr>
            </w:pPr>
            <w:r>
              <w:rPr>
                <w:rFonts w:asciiTheme="minorHAnsi" w:hAnsiTheme="minorHAnsi"/>
                <w:sz w:val="22"/>
                <w:szCs w:val="22"/>
              </w:rPr>
              <w:t xml:space="preserve">This issue will be sent to the Data Infrastructure Subcommittee for consideration. </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FF1757" w:rsidP="00ED2254">
            <w:pPr>
              <w:rPr>
                <w:rFonts w:asciiTheme="minorHAnsi" w:hAnsiTheme="minorHAnsi"/>
                <w:b/>
                <w:sz w:val="22"/>
                <w:szCs w:val="22"/>
              </w:rPr>
            </w:pPr>
            <w:r w:rsidRPr="00FF1757">
              <w:rPr>
                <w:rFonts w:asciiTheme="minorHAnsi" w:hAnsiTheme="minorHAnsi"/>
                <w:b/>
                <w:sz w:val="22"/>
                <w:szCs w:val="22"/>
              </w:rPr>
              <w:t>Kathy Woods, Amy Wagner</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lastRenderedPageBreak/>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r w:rsidR="003F780E" w:rsidRPr="00382C14" w:rsidTr="003F780E">
        <w:tc>
          <w:tcPr>
            <w:tcW w:w="2156" w:type="dxa"/>
          </w:tcPr>
          <w:p w:rsidR="003F780E" w:rsidRPr="008D12EE" w:rsidRDefault="003F780E" w:rsidP="00A93934">
            <w:pPr>
              <w:rPr>
                <w:rFonts w:asciiTheme="minorHAnsi" w:hAnsiTheme="minorHAnsi"/>
                <w:sz w:val="22"/>
                <w:szCs w:val="22"/>
              </w:rPr>
            </w:pPr>
          </w:p>
        </w:tc>
        <w:tc>
          <w:tcPr>
            <w:tcW w:w="3285" w:type="dxa"/>
          </w:tcPr>
          <w:p w:rsidR="003F780E" w:rsidRPr="007A711B" w:rsidRDefault="003F780E" w:rsidP="00A93934">
            <w:pPr>
              <w:rPr>
                <w:rFonts w:asciiTheme="minorHAnsi" w:hAnsiTheme="minorHAnsi"/>
                <w:sz w:val="22"/>
                <w:szCs w:val="22"/>
              </w:rPr>
            </w:pPr>
          </w:p>
        </w:tc>
        <w:tc>
          <w:tcPr>
            <w:tcW w:w="4048" w:type="dxa"/>
          </w:tcPr>
          <w:p w:rsidR="003F780E" w:rsidRPr="007A711B" w:rsidRDefault="003F780E" w:rsidP="00A93934"/>
        </w:tc>
        <w:tc>
          <w:tcPr>
            <w:tcW w:w="3773" w:type="dxa"/>
          </w:tcPr>
          <w:p w:rsidR="003F780E" w:rsidRPr="007A711B" w:rsidRDefault="003F780E" w:rsidP="00A93934"/>
        </w:tc>
      </w:tr>
      <w:tr w:rsidR="003F780E" w:rsidRPr="00382C14" w:rsidTr="003F780E">
        <w:tc>
          <w:tcPr>
            <w:tcW w:w="2156" w:type="dxa"/>
          </w:tcPr>
          <w:p w:rsidR="003F780E" w:rsidRPr="00382C14" w:rsidRDefault="003F780E" w:rsidP="00A93934"/>
        </w:tc>
        <w:tc>
          <w:tcPr>
            <w:tcW w:w="3285" w:type="dxa"/>
          </w:tcPr>
          <w:p w:rsidR="003F780E" w:rsidRPr="00382C14" w:rsidRDefault="003F780E" w:rsidP="00A93934"/>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56" w:rsidRDefault="00B85E56" w:rsidP="009528AC">
      <w:pPr>
        <w:spacing w:after="0" w:line="240" w:lineRule="auto"/>
      </w:pPr>
      <w:r>
        <w:separator/>
      </w:r>
    </w:p>
  </w:endnote>
  <w:endnote w:type="continuationSeparator" w:id="0">
    <w:p w:rsidR="00B85E56" w:rsidRDefault="00B85E56"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9A6026">
        <w:pPr>
          <w:pStyle w:val="Footer"/>
          <w:jc w:val="right"/>
          <w:rPr>
            <w:sz w:val="18"/>
            <w:szCs w:val="18"/>
          </w:rPr>
        </w:pPr>
        <w:r>
          <w:rPr>
            <w:sz w:val="18"/>
            <w:szCs w:val="18"/>
          </w:rPr>
          <w:t>August 26</w:t>
        </w:r>
        <w:r w:rsidR="005E6D1A" w:rsidRPr="005E6D1A">
          <w:rPr>
            <w:sz w:val="18"/>
            <w:szCs w:val="18"/>
          </w:rPr>
          <w:t>, 201</w:t>
        </w:r>
        <w:r w:rsidR="00BF09F3">
          <w:rPr>
            <w:sz w:val="18"/>
            <w:szCs w:val="18"/>
          </w:rPr>
          <w:t>5</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4971F5">
          <w:rPr>
            <w:noProof/>
            <w:sz w:val="18"/>
            <w:szCs w:val="18"/>
          </w:rPr>
          <w:t>4</w:t>
        </w:r>
        <w:r w:rsidRPr="005E6D1A">
          <w:rPr>
            <w:noProof/>
            <w:sz w:val="18"/>
            <w:szCs w:val="18"/>
          </w:rPr>
          <w:fldChar w:fldCharType="end"/>
        </w:r>
      </w:p>
    </w:sdtContent>
  </w:sdt>
  <w:p w:rsidR="0040415D" w:rsidRDefault="0040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56" w:rsidRDefault="00B85E56" w:rsidP="009528AC">
      <w:pPr>
        <w:spacing w:after="0" w:line="240" w:lineRule="auto"/>
      </w:pPr>
      <w:r>
        <w:separator/>
      </w:r>
    </w:p>
  </w:footnote>
  <w:footnote w:type="continuationSeparator" w:id="0">
    <w:p w:rsidR="00B85E56" w:rsidRDefault="00B85E56"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43381"/>
      <w:docPartObj>
        <w:docPartGallery w:val="Watermarks"/>
        <w:docPartUnique/>
      </w:docPartObj>
    </w:sdtPr>
    <w:sdtEndPr/>
    <w:sdtContent>
      <w:p w:rsidR="00971CA9" w:rsidRDefault="004971F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612445"/>
    <w:multiLevelType w:val="hybridMultilevel"/>
    <w:tmpl w:val="D46CE3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3">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81629A"/>
    <w:multiLevelType w:val="hybridMultilevel"/>
    <w:tmpl w:val="26DA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8E4738"/>
    <w:multiLevelType w:val="hybridMultilevel"/>
    <w:tmpl w:val="F6745A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A94A4C"/>
    <w:multiLevelType w:val="hybridMultilevel"/>
    <w:tmpl w:val="D89438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76D6"/>
    <w:rsid w:val="00021782"/>
    <w:rsid w:val="00026C79"/>
    <w:rsid w:val="00027AF4"/>
    <w:rsid w:val="00033E1C"/>
    <w:rsid w:val="00046DB0"/>
    <w:rsid w:val="00047088"/>
    <w:rsid w:val="00051E6B"/>
    <w:rsid w:val="00053DB9"/>
    <w:rsid w:val="00066456"/>
    <w:rsid w:val="000714B6"/>
    <w:rsid w:val="000727A3"/>
    <w:rsid w:val="00075B17"/>
    <w:rsid w:val="00086D9D"/>
    <w:rsid w:val="00095E72"/>
    <w:rsid w:val="00097E02"/>
    <w:rsid w:val="000A02A6"/>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7C92"/>
    <w:rsid w:val="00114C65"/>
    <w:rsid w:val="001173D5"/>
    <w:rsid w:val="001206D1"/>
    <w:rsid w:val="0012168B"/>
    <w:rsid w:val="0012170D"/>
    <w:rsid w:val="00124585"/>
    <w:rsid w:val="00124F1E"/>
    <w:rsid w:val="00130314"/>
    <w:rsid w:val="001309E6"/>
    <w:rsid w:val="00132219"/>
    <w:rsid w:val="00133836"/>
    <w:rsid w:val="00135879"/>
    <w:rsid w:val="001521D1"/>
    <w:rsid w:val="0015221F"/>
    <w:rsid w:val="0015295E"/>
    <w:rsid w:val="001565FD"/>
    <w:rsid w:val="001567D4"/>
    <w:rsid w:val="00156D05"/>
    <w:rsid w:val="0016382B"/>
    <w:rsid w:val="001774A5"/>
    <w:rsid w:val="001828A9"/>
    <w:rsid w:val="00184A3F"/>
    <w:rsid w:val="00190FD6"/>
    <w:rsid w:val="0019691C"/>
    <w:rsid w:val="00197039"/>
    <w:rsid w:val="0019779D"/>
    <w:rsid w:val="001A2AA7"/>
    <w:rsid w:val="001A3885"/>
    <w:rsid w:val="001B0113"/>
    <w:rsid w:val="001B1456"/>
    <w:rsid w:val="001B589D"/>
    <w:rsid w:val="001C38CD"/>
    <w:rsid w:val="001C4F27"/>
    <w:rsid w:val="001D1950"/>
    <w:rsid w:val="001D1B62"/>
    <w:rsid w:val="001D4383"/>
    <w:rsid w:val="001D4751"/>
    <w:rsid w:val="001D798E"/>
    <w:rsid w:val="001E2542"/>
    <w:rsid w:val="001E36E1"/>
    <w:rsid w:val="001F1605"/>
    <w:rsid w:val="001F41F0"/>
    <w:rsid w:val="001F7B1B"/>
    <w:rsid w:val="002045A4"/>
    <w:rsid w:val="00205ACD"/>
    <w:rsid w:val="00211F0F"/>
    <w:rsid w:val="00215823"/>
    <w:rsid w:val="00217D2B"/>
    <w:rsid w:val="00220051"/>
    <w:rsid w:val="002210BE"/>
    <w:rsid w:val="00224B04"/>
    <w:rsid w:val="00227D1E"/>
    <w:rsid w:val="0023065D"/>
    <w:rsid w:val="002309F0"/>
    <w:rsid w:val="00231153"/>
    <w:rsid w:val="00232996"/>
    <w:rsid w:val="00235B01"/>
    <w:rsid w:val="00237BB8"/>
    <w:rsid w:val="002422B9"/>
    <w:rsid w:val="0024589D"/>
    <w:rsid w:val="00251624"/>
    <w:rsid w:val="002533BE"/>
    <w:rsid w:val="00254D4F"/>
    <w:rsid w:val="00255283"/>
    <w:rsid w:val="00262906"/>
    <w:rsid w:val="00265838"/>
    <w:rsid w:val="00283A5B"/>
    <w:rsid w:val="00285B5F"/>
    <w:rsid w:val="00294AD3"/>
    <w:rsid w:val="002950B8"/>
    <w:rsid w:val="002A22B5"/>
    <w:rsid w:val="002A2A54"/>
    <w:rsid w:val="002A54A7"/>
    <w:rsid w:val="002A5768"/>
    <w:rsid w:val="002A71DC"/>
    <w:rsid w:val="002B1061"/>
    <w:rsid w:val="002B7C9C"/>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7654"/>
    <w:rsid w:val="00313F23"/>
    <w:rsid w:val="00317BC6"/>
    <w:rsid w:val="00317EB4"/>
    <w:rsid w:val="00320777"/>
    <w:rsid w:val="00320DF3"/>
    <w:rsid w:val="003220C6"/>
    <w:rsid w:val="003234D8"/>
    <w:rsid w:val="00323BDD"/>
    <w:rsid w:val="0032550D"/>
    <w:rsid w:val="00354529"/>
    <w:rsid w:val="00365DB9"/>
    <w:rsid w:val="00366684"/>
    <w:rsid w:val="00370EBC"/>
    <w:rsid w:val="00372121"/>
    <w:rsid w:val="0037241B"/>
    <w:rsid w:val="0037672E"/>
    <w:rsid w:val="00382C14"/>
    <w:rsid w:val="003847D2"/>
    <w:rsid w:val="003970E1"/>
    <w:rsid w:val="003972B8"/>
    <w:rsid w:val="003A276D"/>
    <w:rsid w:val="003B18D0"/>
    <w:rsid w:val="003B3F0A"/>
    <w:rsid w:val="003C0B6E"/>
    <w:rsid w:val="003D2F31"/>
    <w:rsid w:val="003D480C"/>
    <w:rsid w:val="003D799D"/>
    <w:rsid w:val="003E0CE1"/>
    <w:rsid w:val="003E16CD"/>
    <w:rsid w:val="003E33AF"/>
    <w:rsid w:val="003E5339"/>
    <w:rsid w:val="003E6D4D"/>
    <w:rsid w:val="003E784C"/>
    <w:rsid w:val="003E7C6A"/>
    <w:rsid w:val="003F780E"/>
    <w:rsid w:val="004004DD"/>
    <w:rsid w:val="00401DC3"/>
    <w:rsid w:val="0040415D"/>
    <w:rsid w:val="00405094"/>
    <w:rsid w:val="004145AB"/>
    <w:rsid w:val="00416F02"/>
    <w:rsid w:val="00421749"/>
    <w:rsid w:val="0042176F"/>
    <w:rsid w:val="0042546D"/>
    <w:rsid w:val="004270B5"/>
    <w:rsid w:val="004278A9"/>
    <w:rsid w:val="00427D52"/>
    <w:rsid w:val="00431A1C"/>
    <w:rsid w:val="00441254"/>
    <w:rsid w:val="00451E01"/>
    <w:rsid w:val="0045597A"/>
    <w:rsid w:val="00465910"/>
    <w:rsid w:val="00472BC7"/>
    <w:rsid w:val="00472D8C"/>
    <w:rsid w:val="004754B8"/>
    <w:rsid w:val="0047680F"/>
    <w:rsid w:val="00481813"/>
    <w:rsid w:val="00482A58"/>
    <w:rsid w:val="00483443"/>
    <w:rsid w:val="00490BA0"/>
    <w:rsid w:val="00492901"/>
    <w:rsid w:val="004971F5"/>
    <w:rsid w:val="004A16BA"/>
    <w:rsid w:val="004A17A1"/>
    <w:rsid w:val="004A59FE"/>
    <w:rsid w:val="004A6F00"/>
    <w:rsid w:val="004B19FA"/>
    <w:rsid w:val="004B5FB2"/>
    <w:rsid w:val="004B76DC"/>
    <w:rsid w:val="004C0584"/>
    <w:rsid w:val="004C0EA7"/>
    <w:rsid w:val="004C2832"/>
    <w:rsid w:val="004C2A33"/>
    <w:rsid w:val="004C59C2"/>
    <w:rsid w:val="004D349B"/>
    <w:rsid w:val="004D3D29"/>
    <w:rsid w:val="004E21A0"/>
    <w:rsid w:val="004E3B9B"/>
    <w:rsid w:val="004F2914"/>
    <w:rsid w:val="00503704"/>
    <w:rsid w:val="00504887"/>
    <w:rsid w:val="00511D91"/>
    <w:rsid w:val="00513493"/>
    <w:rsid w:val="0051757D"/>
    <w:rsid w:val="00524079"/>
    <w:rsid w:val="00533F6E"/>
    <w:rsid w:val="00534E7A"/>
    <w:rsid w:val="005350A4"/>
    <w:rsid w:val="00535B92"/>
    <w:rsid w:val="00535BD7"/>
    <w:rsid w:val="00536D0A"/>
    <w:rsid w:val="00542DCF"/>
    <w:rsid w:val="00544104"/>
    <w:rsid w:val="00546CAC"/>
    <w:rsid w:val="005538F0"/>
    <w:rsid w:val="005542BE"/>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7BF9"/>
    <w:rsid w:val="005B19DF"/>
    <w:rsid w:val="005B1B33"/>
    <w:rsid w:val="005B22F4"/>
    <w:rsid w:val="005B41C0"/>
    <w:rsid w:val="005B7630"/>
    <w:rsid w:val="005C0DF3"/>
    <w:rsid w:val="005C691C"/>
    <w:rsid w:val="005E117A"/>
    <w:rsid w:val="005E6566"/>
    <w:rsid w:val="005E6D1A"/>
    <w:rsid w:val="005F0FE8"/>
    <w:rsid w:val="005F2329"/>
    <w:rsid w:val="005F263F"/>
    <w:rsid w:val="005F3A25"/>
    <w:rsid w:val="005F60BC"/>
    <w:rsid w:val="00600D6B"/>
    <w:rsid w:val="00603600"/>
    <w:rsid w:val="00603701"/>
    <w:rsid w:val="00603DD6"/>
    <w:rsid w:val="00605928"/>
    <w:rsid w:val="00607F42"/>
    <w:rsid w:val="0061044D"/>
    <w:rsid w:val="00611561"/>
    <w:rsid w:val="0061496B"/>
    <w:rsid w:val="00615DFD"/>
    <w:rsid w:val="00627A82"/>
    <w:rsid w:val="00627D89"/>
    <w:rsid w:val="006319AD"/>
    <w:rsid w:val="00634B9E"/>
    <w:rsid w:val="00635E57"/>
    <w:rsid w:val="00636E2A"/>
    <w:rsid w:val="00644791"/>
    <w:rsid w:val="006602B5"/>
    <w:rsid w:val="00664BF0"/>
    <w:rsid w:val="006657B4"/>
    <w:rsid w:val="006743EC"/>
    <w:rsid w:val="00680536"/>
    <w:rsid w:val="0068420A"/>
    <w:rsid w:val="00685D08"/>
    <w:rsid w:val="00693536"/>
    <w:rsid w:val="0069679D"/>
    <w:rsid w:val="006974E7"/>
    <w:rsid w:val="006A1299"/>
    <w:rsid w:val="006A4090"/>
    <w:rsid w:val="006B164B"/>
    <w:rsid w:val="006B391C"/>
    <w:rsid w:val="006C04F9"/>
    <w:rsid w:val="006C083C"/>
    <w:rsid w:val="006C2122"/>
    <w:rsid w:val="006D27DE"/>
    <w:rsid w:val="006F2FDF"/>
    <w:rsid w:val="006F4A12"/>
    <w:rsid w:val="00714D46"/>
    <w:rsid w:val="0071661C"/>
    <w:rsid w:val="007224D3"/>
    <w:rsid w:val="007225CD"/>
    <w:rsid w:val="007233A4"/>
    <w:rsid w:val="00730AD4"/>
    <w:rsid w:val="00730CA7"/>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3EEB"/>
    <w:rsid w:val="008C516A"/>
    <w:rsid w:val="008D12EE"/>
    <w:rsid w:val="008D18D1"/>
    <w:rsid w:val="008D3F65"/>
    <w:rsid w:val="008E162A"/>
    <w:rsid w:val="008E19F6"/>
    <w:rsid w:val="008E3D83"/>
    <w:rsid w:val="008F2DA8"/>
    <w:rsid w:val="008F3561"/>
    <w:rsid w:val="008F5D6E"/>
    <w:rsid w:val="00904D1E"/>
    <w:rsid w:val="00906A46"/>
    <w:rsid w:val="00910134"/>
    <w:rsid w:val="0091304A"/>
    <w:rsid w:val="009142CC"/>
    <w:rsid w:val="00914EB5"/>
    <w:rsid w:val="00916DE7"/>
    <w:rsid w:val="00922930"/>
    <w:rsid w:val="00924B9E"/>
    <w:rsid w:val="00925343"/>
    <w:rsid w:val="009310E2"/>
    <w:rsid w:val="00932AA0"/>
    <w:rsid w:val="00934F2C"/>
    <w:rsid w:val="00935216"/>
    <w:rsid w:val="009363E1"/>
    <w:rsid w:val="00941278"/>
    <w:rsid w:val="009454FF"/>
    <w:rsid w:val="009470B3"/>
    <w:rsid w:val="009528AC"/>
    <w:rsid w:val="00952C2E"/>
    <w:rsid w:val="009569E4"/>
    <w:rsid w:val="0095790E"/>
    <w:rsid w:val="00971CA9"/>
    <w:rsid w:val="00984BD6"/>
    <w:rsid w:val="0099337F"/>
    <w:rsid w:val="009A06B8"/>
    <w:rsid w:val="009A6026"/>
    <w:rsid w:val="009A674E"/>
    <w:rsid w:val="009A7859"/>
    <w:rsid w:val="009B0D2F"/>
    <w:rsid w:val="009B1DED"/>
    <w:rsid w:val="009B33CB"/>
    <w:rsid w:val="009B480A"/>
    <w:rsid w:val="009B5E40"/>
    <w:rsid w:val="009C071B"/>
    <w:rsid w:val="009C175D"/>
    <w:rsid w:val="009C1965"/>
    <w:rsid w:val="009D0255"/>
    <w:rsid w:val="009D3EA1"/>
    <w:rsid w:val="009E21FE"/>
    <w:rsid w:val="009E7C50"/>
    <w:rsid w:val="009F7035"/>
    <w:rsid w:val="009F7437"/>
    <w:rsid w:val="009F74F0"/>
    <w:rsid w:val="00A028AE"/>
    <w:rsid w:val="00A03F07"/>
    <w:rsid w:val="00A0773C"/>
    <w:rsid w:val="00A1155A"/>
    <w:rsid w:val="00A15575"/>
    <w:rsid w:val="00A17730"/>
    <w:rsid w:val="00A25D7B"/>
    <w:rsid w:val="00A25DD8"/>
    <w:rsid w:val="00A3329A"/>
    <w:rsid w:val="00A34E8B"/>
    <w:rsid w:val="00A35524"/>
    <w:rsid w:val="00A40865"/>
    <w:rsid w:val="00A516A0"/>
    <w:rsid w:val="00A53AF3"/>
    <w:rsid w:val="00A5601F"/>
    <w:rsid w:val="00A60FFE"/>
    <w:rsid w:val="00A628F7"/>
    <w:rsid w:val="00A63621"/>
    <w:rsid w:val="00A65CDF"/>
    <w:rsid w:val="00A65D3E"/>
    <w:rsid w:val="00A70231"/>
    <w:rsid w:val="00A7115B"/>
    <w:rsid w:val="00A7467D"/>
    <w:rsid w:val="00A77638"/>
    <w:rsid w:val="00A80237"/>
    <w:rsid w:val="00A80B89"/>
    <w:rsid w:val="00A81FC0"/>
    <w:rsid w:val="00A84E7D"/>
    <w:rsid w:val="00A93934"/>
    <w:rsid w:val="00AA3374"/>
    <w:rsid w:val="00AA6364"/>
    <w:rsid w:val="00AA7672"/>
    <w:rsid w:val="00AA79B5"/>
    <w:rsid w:val="00AB3BCA"/>
    <w:rsid w:val="00AB717E"/>
    <w:rsid w:val="00AB76E3"/>
    <w:rsid w:val="00AC0BA8"/>
    <w:rsid w:val="00AC400F"/>
    <w:rsid w:val="00AC578F"/>
    <w:rsid w:val="00AD0517"/>
    <w:rsid w:val="00AD4845"/>
    <w:rsid w:val="00AD5607"/>
    <w:rsid w:val="00AD57CA"/>
    <w:rsid w:val="00AE4ECD"/>
    <w:rsid w:val="00AE6C31"/>
    <w:rsid w:val="00AF5120"/>
    <w:rsid w:val="00B02A9A"/>
    <w:rsid w:val="00B0531A"/>
    <w:rsid w:val="00B06219"/>
    <w:rsid w:val="00B100AD"/>
    <w:rsid w:val="00B10C95"/>
    <w:rsid w:val="00B151B1"/>
    <w:rsid w:val="00B16AFF"/>
    <w:rsid w:val="00B16C50"/>
    <w:rsid w:val="00B17696"/>
    <w:rsid w:val="00B2232E"/>
    <w:rsid w:val="00B332E1"/>
    <w:rsid w:val="00B3334D"/>
    <w:rsid w:val="00B360D6"/>
    <w:rsid w:val="00B36F12"/>
    <w:rsid w:val="00B45DEE"/>
    <w:rsid w:val="00B562FE"/>
    <w:rsid w:val="00B60061"/>
    <w:rsid w:val="00B64438"/>
    <w:rsid w:val="00B70D30"/>
    <w:rsid w:val="00B718DC"/>
    <w:rsid w:val="00B722D3"/>
    <w:rsid w:val="00B730FC"/>
    <w:rsid w:val="00B73575"/>
    <w:rsid w:val="00B7531E"/>
    <w:rsid w:val="00B84210"/>
    <w:rsid w:val="00B85E56"/>
    <w:rsid w:val="00B95148"/>
    <w:rsid w:val="00B96C14"/>
    <w:rsid w:val="00B97464"/>
    <w:rsid w:val="00BA1389"/>
    <w:rsid w:val="00BB38A4"/>
    <w:rsid w:val="00BB514A"/>
    <w:rsid w:val="00BB5E4C"/>
    <w:rsid w:val="00BC6ABF"/>
    <w:rsid w:val="00BD1BE8"/>
    <w:rsid w:val="00BD2E04"/>
    <w:rsid w:val="00BD3725"/>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966"/>
    <w:rsid w:val="00C13BA4"/>
    <w:rsid w:val="00C16773"/>
    <w:rsid w:val="00C16FAF"/>
    <w:rsid w:val="00C25EFC"/>
    <w:rsid w:val="00C26796"/>
    <w:rsid w:val="00C26D0D"/>
    <w:rsid w:val="00C318BB"/>
    <w:rsid w:val="00C320B4"/>
    <w:rsid w:val="00C35836"/>
    <w:rsid w:val="00C46CAB"/>
    <w:rsid w:val="00C472ED"/>
    <w:rsid w:val="00C47D2C"/>
    <w:rsid w:val="00C51824"/>
    <w:rsid w:val="00C520BB"/>
    <w:rsid w:val="00C5237A"/>
    <w:rsid w:val="00C60DB3"/>
    <w:rsid w:val="00C619AC"/>
    <w:rsid w:val="00C61EA0"/>
    <w:rsid w:val="00C67EA7"/>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1596"/>
    <w:rsid w:val="00CE3EBA"/>
    <w:rsid w:val="00CE623A"/>
    <w:rsid w:val="00CE6FFD"/>
    <w:rsid w:val="00CF05A5"/>
    <w:rsid w:val="00CF4902"/>
    <w:rsid w:val="00CF5465"/>
    <w:rsid w:val="00D00E87"/>
    <w:rsid w:val="00D01259"/>
    <w:rsid w:val="00D02A48"/>
    <w:rsid w:val="00D07230"/>
    <w:rsid w:val="00D10110"/>
    <w:rsid w:val="00D1116E"/>
    <w:rsid w:val="00D12D58"/>
    <w:rsid w:val="00D1384F"/>
    <w:rsid w:val="00D14B22"/>
    <w:rsid w:val="00D15570"/>
    <w:rsid w:val="00D15958"/>
    <w:rsid w:val="00D16086"/>
    <w:rsid w:val="00D20A2B"/>
    <w:rsid w:val="00D24C05"/>
    <w:rsid w:val="00D26BCB"/>
    <w:rsid w:val="00D32899"/>
    <w:rsid w:val="00D32F52"/>
    <w:rsid w:val="00D334BD"/>
    <w:rsid w:val="00D35C73"/>
    <w:rsid w:val="00D379AA"/>
    <w:rsid w:val="00D41348"/>
    <w:rsid w:val="00D4170A"/>
    <w:rsid w:val="00D4350F"/>
    <w:rsid w:val="00D47FDE"/>
    <w:rsid w:val="00D51EA6"/>
    <w:rsid w:val="00D5538C"/>
    <w:rsid w:val="00D6261D"/>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1A00"/>
    <w:rsid w:val="00DB35D6"/>
    <w:rsid w:val="00DB5F72"/>
    <w:rsid w:val="00DC2ABE"/>
    <w:rsid w:val="00DC45C1"/>
    <w:rsid w:val="00DC5C80"/>
    <w:rsid w:val="00DC7D65"/>
    <w:rsid w:val="00DD1237"/>
    <w:rsid w:val="00DD42D5"/>
    <w:rsid w:val="00DD55F3"/>
    <w:rsid w:val="00DD65F7"/>
    <w:rsid w:val="00DE3859"/>
    <w:rsid w:val="00DF3E2D"/>
    <w:rsid w:val="00DF4565"/>
    <w:rsid w:val="00DF5DC3"/>
    <w:rsid w:val="00E02AFE"/>
    <w:rsid w:val="00E02E28"/>
    <w:rsid w:val="00E037B1"/>
    <w:rsid w:val="00E04405"/>
    <w:rsid w:val="00E063EF"/>
    <w:rsid w:val="00E07D58"/>
    <w:rsid w:val="00E1035C"/>
    <w:rsid w:val="00E11F71"/>
    <w:rsid w:val="00E1260E"/>
    <w:rsid w:val="00E14CEB"/>
    <w:rsid w:val="00E1584D"/>
    <w:rsid w:val="00E20E41"/>
    <w:rsid w:val="00E21527"/>
    <w:rsid w:val="00E32CBA"/>
    <w:rsid w:val="00E339A4"/>
    <w:rsid w:val="00E3596C"/>
    <w:rsid w:val="00E3623E"/>
    <w:rsid w:val="00E40F7B"/>
    <w:rsid w:val="00E4422C"/>
    <w:rsid w:val="00E51260"/>
    <w:rsid w:val="00E535AD"/>
    <w:rsid w:val="00E56E9B"/>
    <w:rsid w:val="00E57983"/>
    <w:rsid w:val="00E61F8F"/>
    <w:rsid w:val="00E63B6D"/>
    <w:rsid w:val="00E64589"/>
    <w:rsid w:val="00E75723"/>
    <w:rsid w:val="00E779CD"/>
    <w:rsid w:val="00E83854"/>
    <w:rsid w:val="00E83E5A"/>
    <w:rsid w:val="00E90849"/>
    <w:rsid w:val="00E91865"/>
    <w:rsid w:val="00E91CC0"/>
    <w:rsid w:val="00EA7500"/>
    <w:rsid w:val="00EA7E70"/>
    <w:rsid w:val="00EB3D4C"/>
    <w:rsid w:val="00EB6509"/>
    <w:rsid w:val="00EC0CBA"/>
    <w:rsid w:val="00EC108A"/>
    <w:rsid w:val="00EC14ED"/>
    <w:rsid w:val="00EC3095"/>
    <w:rsid w:val="00EC356A"/>
    <w:rsid w:val="00EC40B8"/>
    <w:rsid w:val="00EC52FD"/>
    <w:rsid w:val="00EC751B"/>
    <w:rsid w:val="00ED2254"/>
    <w:rsid w:val="00EE155B"/>
    <w:rsid w:val="00EE2F17"/>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282C"/>
    <w:rsid w:val="00F45035"/>
    <w:rsid w:val="00F60C73"/>
    <w:rsid w:val="00F61704"/>
    <w:rsid w:val="00F619D3"/>
    <w:rsid w:val="00F61F9E"/>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5354"/>
    <w:rsid w:val="00FE67AE"/>
    <w:rsid w:val="00FF1757"/>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9FD07BFD-0399-48D2-81A4-2B40A3DC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Jade Christie-Maples</cp:lastModifiedBy>
  <cp:revision>2</cp:revision>
  <cp:lastPrinted>2014-04-08T15:44:00Z</cp:lastPrinted>
  <dcterms:created xsi:type="dcterms:W3CDTF">2015-10-12T18:41:00Z</dcterms:created>
  <dcterms:modified xsi:type="dcterms:W3CDTF">2015-10-12T18:41:00Z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